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887" w:rsidRPr="00AA1887" w:rsidRDefault="00B14ED1" w:rsidP="00B14ED1">
      <w:pPr>
        <w:numPr>
          <w:ilvl w:val="0"/>
          <w:numId w:val="6"/>
        </w:numPr>
        <w:tabs>
          <w:tab w:val="clear" w:pos="720"/>
          <w:tab w:val="num" w:pos="360"/>
        </w:tabs>
        <w:spacing w:before="240"/>
        <w:ind w:left="360"/>
        <w:jc w:val="both"/>
        <w:rPr>
          <w:rFonts w:ascii="Arial" w:hAnsi="Arial" w:cs="Arial"/>
          <w:sz w:val="22"/>
          <w:szCs w:val="22"/>
        </w:rPr>
      </w:pPr>
      <w:bookmarkStart w:id="0" w:name="_GoBack"/>
      <w:bookmarkEnd w:id="0"/>
      <w:r w:rsidRPr="00B14ED1">
        <w:rPr>
          <w:rFonts w:ascii="Arial" w:hAnsi="Arial" w:cs="Arial"/>
          <w:sz w:val="22"/>
          <w:szCs w:val="22"/>
        </w:rPr>
        <w:t xml:space="preserve">In December 2004, the </w:t>
      </w:r>
      <w:r w:rsidR="00AA1887" w:rsidRPr="00135E2E">
        <w:rPr>
          <w:rFonts w:ascii="Arial" w:hAnsi="Arial" w:cs="Arial"/>
          <w:sz w:val="22"/>
          <w:szCs w:val="22"/>
        </w:rPr>
        <w:t xml:space="preserve">Crime and Misconduct Commission </w:t>
      </w:r>
      <w:r w:rsidR="00AA1887">
        <w:rPr>
          <w:rFonts w:ascii="Arial" w:hAnsi="Arial" w:cs="Arial"/>
          <w:sz w:val="22"/>
          <w:szCs w:val="22"/>
        </w:rPr>
        <w:t>(</w:t>
      </w:r>
      <w:r w:rsidRPr="00B14ED1">
        <w:rPr>
          <w:rFonts w:ascii="Arial" w:hAnsi="Arial" w:cs="Arial"/>
          <w:sz w:val="22"/>
          <w:szCs w:val="22"/>
        </w:rPr>
        <w:t>CMC</w:t>
      </w:r>
      <w:r w:rsidR="00AA1887">
        <w:rPr>
          <w:rFonts w:ascii="Arial" w:hAnsi="Arial" w:cs="Arial"/>
          <w:sz w:val="22"/>
          <w:szCs w:val="22"/>
        </w:rPr>
        <w:t>)</w:t>
      </w:r>
      <w:r w:rsidRPr="00B14ED1">
        <w:rPr>
          <w:rFonts w:ascii="Arial" w:hAnsi="Arial" w:cs="Arial"/>
          <w:sz w:val="22"/>
          <w:szCs w:val="22"/>
        </w:rPr>
        <w:t xml:space="preserve"> released its report on the regulation of the prostitution industry in </w:t>
      </w:r>
      <w:smartTag w:uri="urn:schemas-microsoft-com:office:smarttags" w:element="place">
        <w:smartTag w:uri="urn:schemas-microsoft-com:office:smarttags" w:element="State">
          <w:r w:rsidRPr="00B14ED1">
            <w:rPr>
              <w:rFonts w:ascii="Arial" w:hAnsi="Arial" w:cs="Arial"/>
              <w:sz w:val="22"/>
              <w:szCs w:val="22"/>
            </w:rPr>
            <w:t>Queensland</w:t>
          </w:r>
        </w:smartTag>
      </w:smartTag>
      <w:r w:rsidRPr="00B14ED1">
        <w:rPr>
          <w:rFonts w:ascii="Arial" w:hAnsi="Arial" w:cs="Arial"/>
          <w:sz w:val="22"/>
          <w:szCs w:val="22"/>
        </w:rPr>
        <w:t xml:space="preserve">, </w:t>
      </w:r>
      <w:r w:rsidRPr="00B14ED1">
        <w:rPr>
          <w:rFonts w:ascii="Arial" w:hAnsi="Arial" w:cs="Arial"/>
          <w:i/>
          <w:iCs/>
          <w:sz w:val="22"/>
          <w:szCs w:val="22"/>
        </w:rPr>
        <w:t xml:space="preserve">Regulating prostitution: an evaluation of the Prostitution Act 1999 </w:t>
      </w:r>
      <w:r w:rsidRPr="00B14ED1">
        <w:rPr>
          <w:rFonts w:ascii="Arial" w:hAnsi="Arial" w:cs="Arial"/>
          <w:i/>
          <w:sz w:val="22"/>
          <w:szCs w:val="22"/>
        </w:rPr>
        <w:t>(Qld)</w:t>
      </w:r>
      <w:r w:rsidRPr="00B14ED1">
        <w:rPr>
          <w:rFonts w:ascii="Arial" w:hAnsi="Arial" w:cs="Arial"/>
          <w:sz w:val="22"/>
          <w:szCs w:val="22"/>
        </w:rPr>
        <w:t xml:space="preserve"> (the </w:t>
      </w:r>
      <w:r w:rsidR="00AA1887">
        <w:rPr>
          <w:rFonts w:ascii="Arial" w:hAnsi="Arial" w:cs="Arial"/>
          <w:sz w:val="22"/>
          <w:szCs w:val="22"/>
        </w:rPr>
        <w:t xml:space="preserve">2004 </w:t>
      </w:r>
      <w:r w:rsidRPr="00B14ED1">
        <w:rPr>
          <w:rFonts w:ascii="Arial" w:hAnsi="Arial" w:cs="Arial"/>
          <w:sz w:val="22"/>
          <w:szCs w:val="22"/>
        </w:rPr>
        <w:t>report)</w:t>
      </w:r>
      <w:r w:rsidRPr="00B14ED1">
        <w:rPr>
          <w:rFonts w:ascii="Arial" w:hAnsi="Arial" w:cs="Arial"/>
          <w:i/>
          <w:iCs/>
          <w:sz w:val="22"/>
          <w:szCs w:val="22"/>
        </w:rPr>
        <w:t xml:space="preserve">. </w:t>
      </w:r>
    </w:p>
    <w:p w:rsidR="00B14ED1" w:rsidRPr="00B14ED1" w:rsidRDefault="005F7D6A" w:rsidP="00B14ED1">
      <w:pPr>
        <w:numPr>
          <w:ilvl w:val="0"/>
          <w:numId w:val="6"/>
        </w:numPr>
        <w:tabs>
          <w:tab w:val="clear" w:pos="720"/>
          <w:tab w:val="num" w:pos="360"/>
        </w:tabs>
        <w:spacing w:before="240"/>
        <w:ind w:left="360"/>
        <w:jc w:val="both"/>
        <w:rPr>
          <w:rFonts w:ascii="Arial" w:hAnsi="Arial" w:cs="Arial"/>
          <w:sz w:val="22"/>
          <w:szCs w:val="22"/>
        </w:rPr>
      </w:pPr>
      <w:r>
        <w:rPr>
          <w:rFonts w:ascii="Arial" w:hAnsi="Arial" w:cs="Arial"/>
          <w:iCs/>
          <w:sz w:val="22"/>
          <w:szCs w:val="22"/>
        </w:rPr>
        <w:t>T</w:t>
      </w:r>
      <w:r w:rsidR="00AA1887">
        <w:rPr>
          <w:rFonts w:ascii="Arial" w:hAnsi="Arial" w:cs="Arial"/>
          <w:iCs/>
          <w:sz w:val="22"/>
          <w:szCs w:val="22"/>
        </w:rPr>
        <w:t>he 2004</w:t>
      </w:r>
      <w:r w:rsidR="00B14ED1" w:rsidRPr="00B14ED1">
        <w:rPr>
          <w:rFonts w:ascii="Arial" w:hAnsi="Arial" w:cs="Arial"/>
          <w:iCs/>
          <w:sz w:val="22"/>
          <w:szCs w:val="22"/>
        </w:rPr>
        <w:t xml:space="preserve"> report concluded that </w:t>
      </w:r>
      <w:smartTag w:uri="urn:schemas-microsoft-com:office:smarttags" w:element="place">
        <w:smartTag w:uri="urn:schemas-microsoft-com:office:smarttags" w:element="State">
          <w:r w:rsidR="00B14ED1" w:rsidRPr="00B14ED1">
            <w:rPr>
              <w:rFonts w:ascii="Arial" w:hAnsi="Arial" w:cs="Arial"/>
              <w:sz w:val="22"/>
              <w:szCs w:val="22"/>
            </w:rPr>
            <w:t>Queensland</w:t>
          </w:r>
        </w:smartTag>
      </w:smartTag>
      <w:r w:rsidR="00B14ED1" w:rsidRPr="00B14ED1">
        <w:rPr>
          <w:rFonts w:ascii="Arial" w:hAnsi="Arial" w:cs="Arial"/>
          <w:sz w:val="22"/>
          <w:szCs w:val="22"/>
        </w:rPr>
        <w:t xml:space="preserve"> has a safe and effective legal brothel industry, that there is no evidence of corruption or organised crime within the legal industry, and that the impact of legal brothels on the community appears to have been minimal. </w:t>
      </w:r>
      <w:r>
        <w:rPr>
          <w:rFonts w:ascii="Arial" w:hAnsi="Arial" w:cs="Arial"/>
          <w:sz w:val="22"/>
          <w:szCs w:val="22"/>
        </w:rPr>
        <w:t>T</w:t>
      </w:r>
      <w:r w:rsidR="00B14ED1" w:rsidRPr="00B14ED1">
        <w:rPr>
          <w:rFonts w:ascii="Arial" w:hAnsi="Arial" w:cs="Arial"/>
          <w:sz w:val="22"/>
          <w:szCs w:val="22"/>
        </w:rPr>
        <w:t xml:space="preserve">he </w:t>
      </w:r>
      <w:r w:rsidR="00AA1887">
        <w:rPr>
          <w:rFonts w:ascii="Arial" w:hAnsi="Arial" w:cs="Arial"/>
          <w:sz w:val="22"/>
          <w:szCs w:val="22"/>
        </w:rPr>
        <w:t xml:space="preserve">2004 </w:t>
      </w:r>
      <w:r w:rsidR="00B14ED1" w:rsidRPr="00B14ED1">
        <w:rPr>
          <w:rFonts w:ascii="Arial" w:hAnsi="Arial" w:cs="Arial"/>
          <w:sz w:val="22"/>
          <w:szCs w:val="22"/>
        </w:rPr>
        <w:t xml:space="preserve">report recommended a number of amendments to the </w:t>
      </w:r>
      <w:r w:rsidR="00B14ED1" w:rsidRPr="00B14ED1">
        <w:rPr>
          <w:rFonts w:ascii="Arial" w:hAnsi="Arial" w:cs="Arial"/>
          <w:i/>
          <w:sz w:val="22"/>
          <w:szCs w:val="22"/>
        </w:rPr>
        <w:t>Prostitution Act 1999</w:t>
      </w:r>
      <w:r w:rsidR="00B14ED1" w:rsidRPr="00B14ED1">
        <w:rPr>
          <w:rFonts w:ascii="Arial" w:hAnsi="Arial" w:cs="Arial"/>
          <w:sz w:val="22"/>
          <w:szCs w:val="22"/>
        </w:rPr>
        <w:t xml:space="preserve"> and </w:t>
      </w:r>
      <w:r w:rsidR="00B14ED1" w:rsidRPr="00B14ED1">
        <w:rPr>
          <w:rFonts w:ascii="Arial" w:hAnsi="Arial" w:cs="Arial"/>
          <w:i/>
          <w:sz w:val="22"/>
          <w:szCs w:val="22"/>
        </w:rPr>
        <w:t>Prostitution Regulation 2000</w:t>
      </w:r>
      <w:r w:rsidR="00B14ED1" w:rsidRPr="00B14ED1">
        <w:rPr>
          <w:rFonts w:ascii="Arial" w:hAnsi="Arial" w:cs="Arial"/>
          <w:sz w:val="22"/>
          <w:szCs w:val="22"/>
        </w:rPr>
        <w:t>.</w:t>
      </w:r>
    </w:p>
    <w:p w:rsidR="00B14ED1" w:rsidRPr="00B14ED1" w:rsidRDefault="00AA1887" w:rsidP="00B14ED1">
      <w:pPr>
        <w:numPr>
          <w:ilvl w:val="0"/>
          <w:numId w:val="6"/>
        </w:numPr>
        <w:tabs>
          <w:tab w:val="clear" w:pos="720"/>
          <w:tab w:val="num" w:pos="360"/>
        </w:tabs>
        <w:spacing w:before="240"/>
        <w:ind w:left="360"/>
        <w:jc w:val="both"/>
        <w:rPr>
          <w:rFonts w:ascii="Arial" w:hAnsi="Arial" w:cs="Arial"/>
          <w:sz w:val="22"/>
          <w:szCs w:val="22"/>
        </w:rPr>
      </w:pPr>
      <w:r>
        <w:rPr>
          <w:rFonts w:ascii="Arial" w:hAnsi="Arial" w:cs="Arial"/>
          <w:bCs/>
          <w:iCs/>
          <w:sz w:val="22"/>
          <w:szCs w:val="22"/>
        </w:rPr>
        <w:t>R</w:t>
      </w:r>
      <w:r w:rsidR="00B14ED1" w:rsidRPr="00B14ED1">
        <w:rPr>
          <w:rFonts w:ascii="Arial" w:hAnsi="Arial" w:cs="Arial"/>
          <w:bCs/>
          <w:iCs/>
          <w:sz w:val="22"/>
          <w:szCs w:val="22"/>
        </w:rPr>
        <w:t xml:space="preserve">ecommendation 23 of the </w:t>
      </w:r>
      <w:r>
        <w:rPr>
          <w:rFonts w:ascii="Arial" w:hAnsi="Arial" w:cs="Arial"/>
          <w:sz w:val="22"/>
          <w:szCs w:val="22"/>
        </w:rPr>
        <w:t xml:space="preserve">2004 </w:t>
      </w:r>
      <w:r w:rsidR="00B14ED1" w:rsidRPr="00B14ED1">
        <w:rPr>
          <w:rFonts w:ascii="Arial" w:hAnsi="Arial" w:cs="Arial"/>
          <w:bCs/>
          <w:iCs/>
          <w:sz w:val="22"/>
          <w:szCs w:val="22"/>
        </w:rPr>
        <w:t xml:space="preserve">report provided for the extension of the review in order to examine whether </w:t>
      </w:r>
      <w:smartTag w:uri="urn:schemas-microsoft-com:office:smarttags" w:element="place">
        <w:smartTag w:uri="urn:schemas-microsoft-com:office:smarttags" w:element="State">
          <w:r w:rsidR="00B14ED1" w:rsidRPr="00B14ED1">
            <w:rPr>
              <w:rFonts w:ascii="Arial" w:hAnsi="Arial" w:cs="Arial"/>
              <w:bCs/>
              <w:iCs/>
              <w:sz w:val="22"/>
              <w:szCs w:val="22"/>
            </w:rPr>
            <w:t>Queensland</w:t>
          </w:r>
        </w:smartTag>
      </w:smartTag>
      <w:r w:rsidR="00B14ED1" w:rsidRPr="00B14ED1">
        <w:rPr>
          <w:rFonts w:ascii="Arial" w:hAnsi="Arial" w:cs="Arial"/>
          <w:bCs/>
          <w:iCs/>
          <w:sz w:val="22"/>
          <w:szCs w:val="22"/>
        </w:rPr>
        <w:t xml:space="preserve"> should legalise outcall or escort prostitution services. </w:t>
      </w:r>
    </w:p>
    <w:p w:rsidR="00AA1887" w:rsidRPr="004A33C1" w:rsidRDefault="00B14ED1" w:rsidP="00AA1887">
      <w:pPr>
        <w:numPr>
          <w:ilvl w:val="0"/>
          <w:numId w:val="6"/>
        </w:numPr>
        <w:tabs>
          <w:tab w:val="clear" w:pos="720"/>
          <w:tab w:val="num" w:pos="360"/>
        </w:tabs>
        <w:spacing w:before="240"/>
        <w:ind w:left="360"/>
        <w:jc w:val="both"/>
        <w:rPr>
          <w:rFonts w:ascii="Arial" w:hAnsi="Arial" w:cs="Arial"/>
          <w:bCs/>
          <w:spacing w:val="-3"/>
          <w:sz w:val="22"/>
          <w:szCs w:val="22"/>
        </w:rPr>
      </w:pPr>
      <w:r w:rsidRPr="00B14ED1">
        <w:rPr>
          <w:rFonts w:ascii="Arial" w:hAnsi="Arial" w:cs="Arial"/>
          <w:sz w:val="22"/>
          <w:szCs w:val="22"/>
        </w:rPr>
        <w:t xml:space="preserve">In October 2006, the CMC released the </w:t>
      </w:r>
      <w:r w:rsidR="00AA1887" w:rsidRPr="00135E2E">
        <w:rPr>
          <w:rFonts w:ascii="Arial" w:hAnsi="Arial" w:cs="Arial"/>
          <w:i/>
          <w:sz w:val="22"/>
          <w:szCs w:val="22"/>
        </w:rPr>
        <w:t>Regulating outcall prostitution: should legal outcall prostitution services be extended to licensed brothels and independent escort agencies?</w:t>
      </w:r>
      <w:r w:rsidR="00AA1887">
        <w:rPr>
          <w:rFonts w:ascii="Arial" w:hAnsi="Arial" w:cs="Arial"/>
          <w:i/>
          <w:sz w:val="22"/>
          <w:szCs w:val="22"/>
        </w:rPr>
        <w:t xml:space="preserve"> </w:t>
      </w:r>
      <w:r w:rsidRPr="00B14ED1">
        <w:rPr>
          <w:rFonts w:ascii="Arial" w:hAnsi="Arial" w:cs="Arial"/>
          <w:sz w:val="22"/>
          <w:szCs w:val="22"/>
        </w:rPr>
        <w:t xml:space="preserve">report which </w:t>
      </w:r>
      <w:r w:rsidRPr="00B14ED1">
        <w:rPr>
          <w:rFonts w:ascii="Arial" w:hAnsi="Arial" w:cs="Arial"/>
          <w:iCs/>
          <w:sz w:val="22"/>
          <w:szCs w:val="22"/>
        </w:rPr>
        <w:t xml:space="preserve">details 23 recommendations </w:t>
      </w:r>
      <w:r w:rsidR="00AA1887">
        <w:rPr>
          <w:rFonts w:ascii="Arial" w:hAnsi="Arial" w:cs="Arial"/>
          <w:iCs/>
          <w:sz w:val="22"/>
          <w:szCs w:val="22"/>
        </w:rPr>
        <w:t xml:space="preserve">again </w:t>
      </w:r>
      <w:r w:rsidRPr="00B14ED1">
        <w:rPr>
          <w:rFonts w:ascii="Arial" w:hAnsi="Arial" w:cs="Arial"/>
          <w:iCs/>
          <w:sz w:val="22"/>
          <w:szCs w:val="22"/>
        </w:rPr>
        <w:t xml:space="preserve">aimed at ensuring </w:t>
      </w:r>
      <w:r w:rsidRPr="00B14ED1">
        <w:rPr>
          <w:rFonts w:ascii="Arial" w:hAnsi="Arial" w:cs="Arial"/>
          <w:sz w:val="22"/>
          <w:szCs w:val="22"/>
        </w:rPr>
        <w:t xml:space="preserve">the legal </w:t>
      </w:r>
      <w:r w:rsidRPr="004A33C1">
        <w:rPr>
          <w:rFonts w:ascii="Arial" w:hAnsi="Arial" w:cs="Arial"/>
          <w:sz w:val="22"/>
          <w:szCs w:val="22"/>
        </w:rPr>
        <w:t xml:space="preserve">industry’s continued viability and reducing incentives for an illegal industry. </w:t>
      </w:r>
    </w:p>
    <w:p w:rsidR="00E2766A" w:rsidRPr="004A33C1" w:rsidRDefault="00B14ED1" w:rsidP="00E2766A">
      <w:pPr>
        <w:numPr>
          <w:ilvl w:val="0"/>
          <w:numId w:val="6"/>
        </w:numPr>
        <w:tabs>
          <w:tab w:val="clear" w:pos="720"/>
          <w:tab w:val="num" w:pos="360"/>
        </w:tabs>
        <w:spacing w:before="240"/>
        <w:ind w:left="360"/>
        <w:jc w:val="both"/>
        <w:rPr>
          <w:rFonts w:ascii="Arial" w:hAnsi="Arial" w:cs="Arial"/>
          <w:sz w:val="22"/>
          <w:szCs w:val="22"/>
        </w:rPr>
      </w:pPr>
      <w:r w:rsidRPr="004A33C1">
        <w:rPr>
          <w:rFonts w:ascii="Arial" w:hAnsi="Arial" w:cs="Arial"/>
          <w:iCs/>
          <w:sz w:val="22"/>
          <w:szCs w:val="22"/>
        </w:rPr>
        <w:t xml:space="preserve">The recommendations can be divided into four general categories: legalising outcall prostitution; advertising restrictions; prosecuting illegal operators and seeking asset confiscation; and enhancing the safety of sole operators. </w:t>
      </w:r>
      <w:r w:rsidR="00E2766A" w:rsidRPr="004A33C1">
        <w:rPr>
          <w:rFonts w:ascii="Arial" w:hAnsi="Arial" w:cs="Arial"/>
          <w:iCs/>
          <w:sz w:val="22"/>
          <w:szCs w:val="22"/>
        </w:rPr>
        <w:t xml:space="preserve"> </w:t>
      </w:r>
      <w:r w:rsidR="00E2766A" w:rsidRPr="004A33C1">
        <w:rPr>
          <w:rFonts w:ascii="Arial" w:hAnsi="Arial" w:cs="Arial"/>
          <w:sz w:val="22"/>
          <w:szCs w:val="22"/>
        </w:rPr>
        <w:t xml:space="preserve">Recommendations 1 and 2 of provide that outcall services from licensed brothels and from independent ‘escort agencies’ in </w:t>
      </w:r>
      <w:smartTag w:uri="urn:schemas-microsoft-com:office:smarttags" w:element="place">
        <w:smartTag w:uri="urn:schemas-microsoft-com:office:smarttags" w:element="State">
          <w:r w:rsidR="00E2766A" w:rsidRPr="004A33C1">
            <w:rPr>
              <w:rFonts w:ascii="Arial" w:hAnsi="Arial" w:cs="Arial"/>
              <w:sz w:val="22"/>
              <w:szCs w:val="22"/>
            </w:rPr>
            <w:t>Queensland</w:t>
          </w:r>
        </w:smartTag>
      </w:smartTag>
      <w:r w:rsidR="00E2766A" w:rsidRPr="004A33C1">
        <w:rPr>
          <w:rFonts w:ascii="Arial" w:hAnsi="Arial" w:cs="Arial"/>
          <w:sz w:val="22"/>
          <w:szCs w:val="22"/>
        </w:rPr>
        <w:t xml:space="preserve"> should not be legalised. These recommendations are supported. </w:t>
      </w:r>
    </w:p>
    <w:p w:rsidR="00135E2E" w:rsidRPr="00B14ED1" w:rsidRDefault="00B14ED1" w:rsidP="00AA1887">
      <w:pPr>
        <w:numPr>
          <w:ilvl w:val="0"/>
          <w:numId w:val="6"/>
        </w:numPr>
        <w:tabs>
          <w:tab w:val="clear" w:pos="720"/>
          <w:tab w:val="num" w:pos="360"/>
        </w:tabs>
        <w:spacing w:before="240"/>
        <w:ind w:left="360"/>
        <w:jc w:val="both"/>
        <w:rPr>
          <w:rFonts w:ascii="Arial" w:hAnsi="Arial" w:cs="Arial"/>
          <w:bCs/>
          <w:spacing w:val="-3"/>
          <w:sz w:val="22"/>
          <w:szCs w:val="22"/>
        </w:rPr>
      </w:pPr>
      <w:r w:rsidRPr="004A33C1">
        <w:rPr>
          <w:rFonts w:ascii="Arial" w:hAnsi="Arial" w:cs="Arial"/>
          <w:iCs/>
          <w:sz w:val="22"/>
          <w:szCs w:val="22"/>
        </w:rPr>
        <w:t>All of</w:t>
      </w:r>
      <w:r w:rsidRPr="004A33C1">
        <w:rPr>
          <w:rFonts w:ascii="Arial" w:hAnsi="Arial" w:cs="Arial"/>
          <w:sz w:val="22"/>
          <w:szCs w:val="22"/>
        </w:rPr>
        <w:t xml:space="preserve"> the </w:t>
      </w:r>
      <w:r w:rsidR="00E2766A" w:rsidRPr="004A33C1">
        <w:rPr>
          <w:rFonts w:ascii="Arial" w:hAnsi="Arial" w:cs="Arial"/>
          <w:sz w:val="22"/>
          <w:szCs w:val="22"/>
        </w:rPr>
        <w:t>other</w:t>
      </w:r>
      <w:r w:rsidR="00E2766A">
        <w:rPr>
          <w:rFonts w:ascii="Arial" w:hAnsi="Arial" w:cs="Arial"/>
          <w:sz w:val="22"/>
          <w:szCs w:val="22"/>
        </w:rPr>
        <w:t xml:space="preserve"> </w:t>
      </w:r>
      <w:r w:rsidRPr="00B14ED1">
        <w:rPr>
          <w:rFonts w:ascii="Arial" w:hAnsi="Arial" w:cs="Arial"/>
          <w:sz w:val="22"/>
          <w:szCs w:val="22"/>
        </w:rPr>
        <w:t>recommendations are considered acceptable for implementation either through legislative or non-legislative means.</w:t>
      </w:r>
    </w:p>
    <w:p w:rsidR="00135E2E" w:rsidRPr="00CB77FB"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135E2E">
        <w:rPr>
          <w:rFonts w:ascii="Arial" w:hAnsi="Arial" w:cs="Arial"/>
          <w:sz w:val="22"/>
          <w:szCs w:val="22"/>
        </w:rPr>
        <w:t xml:space="preserve">the </w:t>
      </w:r>
      <w:r w:rsidR="00135E2E" w:rsidRPr="00135E2E">
        <w:rPr>
          <w:rFonts w:ascii="Arial" w:hAnsi="Arial" w:cs="Arial"/>
          <w:sz w:val="22"/>
          <w:szCs w:val="22"/>
        </w:rPr>
        <w:t xml:space="preserve">Government response to the recommendations contained in the Crime and Misconduct Commission report </w:t>
      </w:r>
      <w:r w:rsidR="00135E2E">
        <w:rPr>
          <w:rFonts w:ascii="Arial" w:hAnsi="Arial" w:cs="Arial"/>
          <w:sz w:val="22"/>
          <w:szCs w:val="22"/>
        </w:rPr>
        <w:t>“</w:t>
      </w:r>
      <w:r w:rsidR="00135E2E" w:rsidRPr="00135E2E">
        <w:rPr>
          <w:rFonts w:ascii="Arial" w:hAnsi="Arial" w:cs="Arial"/>
          <w:i/>
          <w:sz w:val="22"/>
          <w:szCs w:val="22"/>
        </w:rPr>
        <w:t>Regulating outcall prostitution:  should legal outcall prostitution services be extended to licensed brothels and independent escort agencies?</w:t>
      </w:r>
      <w:r w:rsidR="00135E2E">
        <w:rPr>
          <w:rFonts w:ascii="Arial" w:hAnsi="Arial" w:cs="Arial"/>
          <w:i/>
          <w:sz w:val="22"/>
          <w:szCs w:val="22"/>
        </w:rPr>
        <w:t>”.</w:t>
      </w:r>
    </w:p>
    <w:p w:rsidR="00CB77FB" w:rsidRPr="008B06CA" w:rsidRDefault="00CB77FB" w:rsidP="00CB77FB">
      <w:pPr>
        <w:jc w:val="both"/>
        <w:rPr>
          <w:rFonts w:ascii="Arial" w:hAnsi="Arial" w:cs="Arial"/>
          <w:bCs/>
          <w:spacing w:val="-3"/>
          <w:sz w:val="22"/>
          <w:szCs w:val="22"/>
        </w:rPr>
      </w:pPr>
    </w:p>
    <w:p w:rsidR="008B06CA" w:rsidRPr="008B06CA" w:rsidRDefault="008B06CA" w:rsidP="008B06CA">
      <w:pPr>
        <w:keepNext/>
        <w:numPr>
          <w:ilvl w:val="0"/>
          <w:numId w:val="6"/>
        </w:numPr>
        <w:tabs>
          <w:tab w:val="clear" w:pos="720"/>
          <w:tab w:val="num" w:pos="360"/>
        </w:tabs>
        <w:spacing w:before="240"/>
        <w:ind w:left="357" w:hanging="357"/>
        <w:jc w:val="both"/>
        <w:rPr>
          <w:rFonts w:ascii="Arial" w:hAnsi="Arial" w:cs="Arial"/>
          <w:sz w:val="22"/>
          <w:szCs w:val="22"/>
        </w:rPr>
      </w:pPr>
      <w:r w:rsidRPr="00C07656">
        <w:rPr>
          <w:rFonts w:ascii="Arial" w:hAnsi="Arial" w:cs="Arial"/>
          <w:i/>
          <w:sz w:val="22"/>
          <w:szCs w:val="22"/>
          <w:u w:val="single"/>
        </w:rPr>
        <w:t>Attachments</w:t>
      </w:r>
    </w:p>
    <w:p w:rsidR="008B06CA" w:rsidRPr="008B06CA" w:rsidRDefault="008B06CA" w:rsidP="00CB77FB">
      <w:pPr>
        <w:keepNext/>
        <w:numPr>
          <w:ilvl w:val="0"/>
          <w:numId w:val="14"/>
        </w:numPr>
        <w:spacing w:before="120"/>
        <w:jc w:val="both"/>
        <w:rPr>
          <w:rFonts w:ascii="Arial" w:hAnsi="Arial" w:cs="Arial"/>
          <w:sz w:val="22"/>
          <w:szCs w:val="22"/>
        </w:rPr>
      </w:pPr>
      <w:r>
        <w:rPr>
          <w:rFonts w:ascii="Arial" w:hAnsi="Arial" w:cs="Arial"/>
          <w:sz w:val="22"/>
          <w:szCs w:val="22"/>
        </w:rPr>
        <w:t>Nil.</w:t>
      </w:r>
    </w:p>
    <w:p w:rsidR="00EA00BF" w:rsidRPr="00C07656" w:rsidRDefault="00EA00BF" w:rsidP="00EA00BF">
      <w:pPr>
        <w:jc w:val="both"/>
        <w:rPr>
          <w:rFonts w:ascii="Arial" w:hAnsi="Arial" w:cs="Arial"/>
          <w:sz w:val="22"/>
          <w:szCs w:val="22"/>
        </w:rPr>
      </w:pPr>
    </w:p>
    <w:p w:rsidR="000B545C" w:rsidRPr="00C07656" w:rsidRDefault="000B545C">
      <w:pPr>
        <w:rPr>
          <w:rFonts w:ascii="Arial" w:hAnsi="Arial" w:cs="Arial"/>
          <w:sz w:val="22"/>
          <w:szCs w:val="22"/>
        </w:rPr>
      </w:pPr>
    </w:p>
    <w:sectPr w:rsidR="000B545C" w:rsidRPr="00C07656" w:rsidSect="00644076">
      <w:headerReference w:type="default" r:id="rId7"/>
      <w:footerReference w:type="default" r:id="rId8"/>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6B" w:rsidRDefault="00D97F6B">
      <w:r>
        <w:separator/>
      </w:r>
    </w:p>
  </w:endnote>
  <w:endnote w:type="continuationSeparator" w:id="0">
    <w:p w:rsidR="00D97F6B" w:rsidRDefault="00D9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6CA" w:rsidRPr="001141E1" w:rsidRDefault="008B06CA"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6B" w:rsidRDefault="00D97F6B">
      <w:r>
        <w:separator/>
      </w:r>
    </w:p>
  </w:footnote>
  <w:footnote w:type="continuationSeparator" w:id="0">
    <w:p w:rsidR="00D97F6B" w:rsidRDefault="00D97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6CA" w:rsidRPr="000400F9" w:rsidRDefault="00714A30" w:rsidP="00A97A38">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5720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14:sizeRelH relativeFrom="page">
            <wp14:pctWidth>0</wp14:pctWidth>
          </wp14:sizeRelH>
          <wp14:sizeRelV relativeFrom="page">
            <wp14:pctHeight>0</wp14:pctHeight>
          </wp14:sizeRelV>
        </wp:anchor>
      </w:drawing>
    </w:r>
    <w:r w:rsidR="008B06CA" w:rsidRPr="000400F9">
      <w:rPr>
        <w:rFonts w:ascii="Arial" w:hAnsi="Arial" w:cs="Arial"/>
        <w:b/>
        <w:sz w:val="22"/>
        <w:szCs w:val="22"/>
        <w:u w:val="single"/>
      </w:rPr>
      <w:t xml:space="preserve">Cabinet – </w:t>
    </w:r>
    <w:r w:rsidR="008B06CA">
      <w:rPr>
        <w:rFonts w:ascii="Arial" w:hAnsi="Arial" w:cs="Arial"/>
        <w:b/>
        <w:sz w:val="22"/>
        <w:szCs w:val="22"/>
        <w:u w:val="single"/>
      </w:rPr>
      <w:t>October 2008</w:t>
    </w:r>
  </w:p>
  <w:p w:rsidR="008B06CA" w:rsidRPr="00C10ADB" w:rsidRDefault="008B06CA" w:rsidP="000400F9">
    <w:pPr>
      <w:pStyle w:val="Header"/>
      <w:spacing w:before="120"/>
      <w:rPr>
        <w:rFonts w:ascii="Arial" w:hAnsi="Arial" w:cs="Arial"/>
        <w:b/>
        <w:sz w:val="22"/>
        <w:szCs w:val="22"/>
        <w:u w:val="single"/>
      </w:rPr>
    </w:pPr>
    <w:r w:rsidRPr="00C10ADB">
      <w:rPr>
        <w:rFonts w:ascii="Arial" w:hAnsi="Arial" w:cs="Arial"/>
        <w:b/>
        <w:sz w:val="22"/>
        <w:szCs w:val="22"/>
        <w:u w:val="single"/>
      </w:rPr>
      <w:t xml:space="preserve">Crime and Misconduct Commission report </w:t>
    </w:r>
    <w:r>
      <w:rPr>
        <w:rFonts w:ascii="Arial" w:hAnsi="Arial" w:cs="Arial"/>
        <w:b/>
        <w:sz w:val="22"/>
        <w:szCs w:val="22"/>
        <w:u w:val="single"/>
      </w:rPr>
      <w:t>on r</w:t>
    </w:r>
    <w:r w:rsidRPr="00C10ADB">
      <w:rPr>
        <w:rFonts w:ascii="Arial" w:hAnsi="Arial" w:cs="Arial"/>
        <w:b/>
        <w:sz w:val="22"/>
        <w:szCs w:val="22"/>
        <w:u w:val="single"/>
      </w:rPr>
      <w:t>egulating outcall prostitution</w:t>
    </w:r>
  </w:p>
  <w:p w:rsidR="008B06CA" w:rsidRDefault="008B06CA" w:rsidP="000400F9">
    <w:pPr>
      <w:pStyle w:val="Header"/>
      <w:spacing w:before="120"/>
      <w:rPr>
        <w:rFonts w:ascii="Arial" w:hAnsi="Arial" w:cs="Arial"/>
        <w:b/>
        <w:sz w:val="22"/>
        <w:szCs w:val="22"/>
        <w:u w:val="single"/>
      </w:rPr>
    </w:pPr>
    <w:r w:rsidRPr="00A523E4">
      <w:rPr>
        <w:rFonts w:ascii="Arial" w:hAnsi="Arial" w:cs="Arial"/>
        <w:b/>
        <w:sz w:val="22"/>
        <w:szCs w:val="22"/>
        <w:u w:val="single"/>
      </w:rPr>
      <w:t xml:space="preserve">Minister for Police, Corrective Services and Sport;  Attorney-General and Minister for Justice and Minister Assisting the Premier in </w:t>
    </w:r>
    <w:smartTag w:uri="urn:schemas-microsoft-com:office:smarttags" w:element="place">
      <w:r w:rsidRPr="00A523E4">
        <w:rPr>
          <w:rFonts w:ascii="Arial" w:hAnsi="Arial" w:cs="Arial"/>
          <w:b/>
          <w:sz w:val="22"/>
          <w:szCs w:val="22"/>
          <w:u w:val="single"/>
        </w:rPr>
        <w:t>Western Queensland</w:t>
      </w:r>
    </w:smartTag>
  </w:p>
  <w:p w:rsidR="008B06CA" w:rsidRPr="000400F9" w:rsidRDefault="008B06CA" w:rsidP="000400F9">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C9D60D0"/>
    <w:multiLevelType w:val="hybridMultilevel"/>
    <w:tmpl w:val="C92068DA"/>
    <w:lvl w:ilvl="0" w:tplc="1EEA388C">
      <w:start w:val="1"/>
      <w:numFmt w:val="decimal"/>
      <w:lvlText w:val="(%1)"/>
      <w:lvlJc w:val="left"/>
      <w:pPr>
        <w:tabs>
          <w:tab w:val="num" w:pos="1960"/>
        </w:tabs>
        <w:ind w:left="1960" w:hanging="360"/>
      </w:pPr>
      <w:rPr>
        <w:rFonts w:hint="default"/>
        <w:i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C4169E0"/>
    <w:multiLevelType w:val="hybridMultilevel"/>
    <w:tmpl w:val="27623EE0"/>
    <w:lvl w:ilvl="0" w:tplc="3B26922E">
      <w:start w:val="1"/>
      <w:numFmt w:val="bullet"/>
      <w:lvlText w:val=""/>
      <w:lvlJc w:val="left"/>
      <w:pPr>
        <w:tabs>
          <w:tab w:val="num" w:pos="811"/>
        </w:tabs>
        <w:ind w:left="811" w:hanging="454"/>
      </w:pPr>
      <w:rPr>
        <w:rFonts w:ascii="Symbol" w:hAnsi="Symbol" w:hint="default"/>
        <w:color w:val="000000"/>
        <w:sz w:val="23"/>
      </w:rPr>
    </w:lvl>
    <w:lvl w:ilvl="1" w:tplc="0C090003" w:tentative="1">
      <w:start w:val="1"/>
      <w:numFmt w:val="bullet"/>
      <w:lvlText w:val="o"/>
      <w:lvlJc w:val="left"/>
      <w:pPr>
        <w:tabs>
          <w:tab w:val="num" w:pos="1437"/>
        </w:tabs>
        <w:ind w:left="1437" w:hanging="360"/>
      </w:pPr>
      <w:rPr>
        <w:rFonts w:ascii="Courier New" w:hAnsi="Courier New" w:cs="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50B7353"/>
    <w:multiLevelType w:val="hybridMultilevel"/>
    <w:tmpl w:val="FBAC8378"/>
    <w:lvl w:ilvl="0" w:tplc="EA348948">
      <w:start w:val="5"/>
      <w:numFmt w:val="bullet"/>
      <w:lvlText w:val=""/>
      <w:lvlJc w:val="left"/>
      <w:pPr>
        <w:tabs>
          <w:tab w:val="num" w:pos="851"/>
        </w:tabs>
        <w:ind w:left="851"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1"/>
  </w:num>
  <w:num w:numId="4">
    <w:abstractNumId w:val="4"/>
  </w:num>
  <w:num w:numId="5">
    <w:abstractNumId w:val="2"/>
  </w:num>
  <w:num w:numId="6">
    <w:abstractNumId w:val="13"/>
  </w:num>
  <w:num w:numId="7">
    <w:abstractNumId w:val="12"/>
  </w:num>
  <w:num w:numId="8">
    <w:abstractNumId w:val="10"/>
  </w:num>
  <w:num w:numId="9">
    <w:abstractNumId w:val="9"/>
  </w:num>
  <w:num w:numId="10">
    <w:abstractNumId w:val="7"/>
  </w:num>
  <w:num w:numId="11">
    <w:abstractNumId w:val="6"/>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E4"/>
    <w:rsid w:val="00021B34"/>
    <w:rsid w:val="00036706"/>
    <w:rsid w:val="000400F9"/>
    <w:rsid w:val="00081B5A"/>
    <w:rsid w:val="000B545C"/>
    <w:rsid w:val="001141E1"/>
    <w:rsid w:val="00133013"/>
    <w:rsid w:val="00133A34"/>
    <w:rsid w:val="00135E2E"/>
    <w:rsid w:val="0014364D"/>
    <w:rsid w:val="00160524"/>
    <w:rsid w:val="00173553"/>
    <w:rsid w:val="00254E35"/>
    <w:rsid w:val="00264D94"/>
    <w:rsid w:val="002751D9"/>
    <w:rsid w:val="0028053C"/>
    <w:rsid w:val="00286103"/>
    <w:rsid w:val="002F57E4"/>
    <w:rsid w:val="0032048B"/>
    <w:rsid w:val="0032172F"/>
    <w:rsid w:val="00346156"/>
    <w:rsid w:val="00382380"/>
    <w:rsid w:val="003A269C"/>
    <w:rsid w:val="003A2E0F"/>
    <w:rsid w:val="003C3732"/>
    <w:rsid w:val="00435BE5"/>
    <w:rsid w:val="00440FC7"/>
    <w:rsid w:val="0048019C"/>
    <w:rsid w:val="00486A99"/>
    <w:rsid w:val="004A33C1"/>
    <w:rsid w:val="004A4B56"/>
    <w:rsid w:val="004C5BDF"/>
    <w:rsid w:val="004E6C38"/>
    <w:rsid w:val="005322C1"/>
    <w:rsid w:val="0056401D"/>
    <w:rsid w:val="005B1D9B"/>
    <w:rsid w:val="005F7D6A"/>
    <w:rsid w:val="006100CC"/>
    <w:rsid w:val="00644076"/>
    <w:rsid w:val="006631CF"/>
    <w:rsid w:val="006B3B54"/>
    <w:rsid w:val="006D0869"/>
    <w:rsid w:val="006E6713"/>
    <w:rsid w:val="007060D7"/>
    <w:rsid w:val="00714A30"/>
    <w:rsid w:val="00726F36"/>
    <w:rsid w:val="00780826"/>
    <w:rsid w:val="007A25F4"/>
    <w:rsid w:val="007A6599"/>
    <w:rsid w:val="007C7BE3"/>
    <w:rsid w:val="007F52D6"/>
    <w:rsid w:val="007F6480"/>
    <w:rsid w:val="008130C8"/>
    <w:rsid w:val="0082040E"/>
    <w:rsid w:val="0083649A"/>
    <w:rsid w:val="00845D3E"/>
    <w:rsid w:val="008609F7"/>
    <w:rsid w:val="008635A7"/>
    <w:rsid w:val="008A5F1B"/>
    <w:rsid w:val="008B06CA"/>
    <w:rsid w:val="008B7E17"/>
    <w:rsid w:val="008F44CD"/>
    <w:rsid w:val="00900609"/>
    <w:rsid w:val="00922A5B"/>
    <w:rsid w:val="00930E01"/>
    <w:rsid w:val="009B13B0"/>
    <w:rsid w:val="009D0C12"/>
    <w:rsid w:val="009D20CD"/>
    <w:rsid w:val="009F5476"/>
    <w:rsid w:val="00A20C0E"/>
    <w:rsid w:val="00A2272C"/>
    <w:rsid w:val="00A30F55"/>
    <w:rsid w:val="00A523E4"/>
    <w:rsid w:val="00A97A38"/>
    <w:rsid w:val="00AA128C"/>
    <w:rsid w:val="00AA1887"/>
    <w:rsid w:val="00AB6637"/>
    <w:rsid w:val="00AB739C"/>
    <w:rsid w:val="00AE1995"/>
    <w:rsid w:val="00B14ED1"/>
    <w:rsid w:val="00B40BDF"/>
    <w:rsid w:val="00BC457F"/>
    <w:rsid w:val="00BD3010"/>
    <w:rsid w:val="00C07656"/>
    <w:rsid w:val="00C10ADB"/>
    <w:rsid w:val="00C85B71"/>
    <w:rsid w:val="00CB77FB"/>
    <w:rsid w:val="00CD157A"/>
    <w:rsid w:val="00CE6FBA"/>
    <w:rsid w:val="00D54601"/>
    <w:rsid w:val="00D635AD"/>
    <w:rsid w:val="00D97F6B"/>
    <w:rsid w:val="00DD3CD5"/>
    <w:rsid w:val="00DD497C"/>
    <w:rsid w:val="00DF3831"/>
    <w:rsid w:val="00E04896"/>
    <w:rsid w:val="00E2766A"/>
    <w:rsid w:val="00E3615C"/>
    <w:rsid w:val="00E40688"/>
    <w:rsid w:val="00E463C2"/>
    <w:rsid w:val="00EA00BF"/>
    <w:rsid w:val="00EA6498"/>
    <w:rsid w:val="00EE52B4"/>
    <w:rsid w:val="00F042FB"/>
    <w:rsid w:val="00F35354"/>
    <w:rsid w:val="00F756F8"/>
    <w:rsid w:val="00F80C89"/>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1703</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1980</CharactersWithSpaces>
  <SharedDoc>false</SharedDoc>
  <HyperlinkBase>https://www.cabinet.qld.gov.au/documents/2008/Oct/Outcall Prositution CMC report/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2008-11-28T02:58:00Z</cp:lastPrinted>
  <dcterms:created xsi:type="dcterms:W3CDTF">2017-10-24T07:46:00Z</dcterms:created>
  <dcterms:modified xsi:type="dcterms:W3CDTF">2018-03-06T00:53:00Z</dcterms:modified>
  <cp:category>Prostitution,Crime_and_Misconduct_Commission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